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9D0B" w14:textId="77777777" w:rsidR="008E2FF9" w:rsidRDefault="008E2FF9" w:rsidP="00A71C91">
      <w:pPr>
        <w:spacing w:after="0"/>
        <w:jc w:val="center"/>
        <w:rPr>
          <w:color w:val="1F3864" w:themeColor="accent1" w:themeShade="80"/>
        </w:rPr>
      </w:pPr>
    </w:p>
    <w:p w14:paraId="00A24324" w14:textId="77777777" w:rsidR="008E2FF9" w:rsidRDefault="008E2FF9" w:rsidP="00A71C91">
      <w:pPr>
        <w:spacing w:after="0"/>
        <w:jc w:val="center"/>
        <w:rPr>
          <w:color w:val="1F3864" w:themeColor="accent1" w:themeShade="80"/>
        </w:rPr>
      </w:pPr>
    </w:p>
    <w:p w14:paraId="23FD0DD4" w14:textId="51D1EC3D" w:rsidR="00A71C91" w:rsidRPr="008E6416" w:rsidRDefault="00CE38A7" w:rsidP="00A71C91">
      <w:pPr>
        <w:spacing w:after="0"/>
        <w:jc w:val="center"/>
        <w:rPr>
          <w:b/>
          <w:bCs/>
          <w:color w:val="1F3864" w:themeColor="accent1" w:themeShade="80"/>
        </w:rPr>
      </w:pPr>
      <w:r>
        <w:rPr>
          <w:b/>
          <w:bCs/>
          <w:color w:val="1F3864" w:themeColor="accent1" w:themeShade="80"/>
        </w:rPr>
        <w:t>Greasewood Solar II</w:t>
      </w:r>
    </w:p>
    <w:p w14:paraId="7742FA71" w14:textId="7F2CAE0C" w:rsidR="00670017" w:rsidRPr="008E6416" w:rsidRDefault="00096174" w:rsidP="00A71C91">
      <w:pPr>
        <w:spacing w:after="0"/>
        <w:jc w:val="center"/>
        <w:rPr>
          <w:b/>
          <w:bCs/>
          <w:color w:val="1F3864" w:themeColor="accent1" w:themeShade="80"/>
        </w:rPr>
      </w:pPr>
      <w:r w:rsidRPr="008E6416">
        <w:rPr>
          <w:b/>
          <w:bCs/>
          <w:color w:val="1F3864" w:themeColor="accent1" w:themeShade="80"/>
        </w:rPr>
        <w:t>Emergency Operations Plan Executive Summary</w:t>
      </w:r>
    </w:p>
    <w:p w14:paraId="67941D68" w14:textId="50779287" w:rsidR="00A71C91" w:rsidRDefault="00A71C91" w:rsidP="00A71C91">
      <w:pPr>
        <w:spacing w:after="0"/>
        <w:jc w:val="center"/>
        <w:rPr>
          <w:color w:val="0070C0"/>
        </w:rPr>
      </w:pPr>
    </w:p>
    <w:p w14:paraId="6A2A209B" w14:textId="651BFB7A" w:rsidR="006962C9" w:rsidRPr="00CF64E6" w:rsidRDefault="006962C9" w:rsidP="006962C9">
      <w:pPr>
        <w:pStyle w:val="Heading1"/>
        <w:tabs>
          <w:tab w:val="center" w:pos="1265"/>
        </w:tabs>
        <w:ind w:left="-15"/>
        <w:rPr>
          <w:b/>
          <w:bCs/>
          <w:sz w:val="26"/>
          <w:szCs w:val="26"/>
        </w:rPr>
      </w:pPr>
      <w:bookmarkStart w:id="0" w:name="_Toc100082196"/>
      <w:r>
        <w:rPr>
          <w:b/>
          <w:bCs/>
          <w:sz w:val="26"/>
          <w:szCs w:val="26"/>
        </w:rPr>
        <w:t>Executive Summary</w:t>
      </w:r>
      <w:bookmarkEnd w:id="0"/>
      <w:r w:rsidR="009A02FC">
        <w:rPr>
          <w:b/>
          <w:bCs/>
          <w:sz w:val="26"/>
          <w:szCs w:val="26"/>
        </w:rPr>
        <w:t>:</w:t>
      </w:r>
    </w:p>
    <w:p w14:paraId="6D31CFB8" w14:textId="1542FB68"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As a registered PGC, </w:t>
      </w:r>
      <w:r w:rsidR="00CE38A7">
        <w:rPr>
          <w:rFonts w:asciiTheme="majorHAnsi" w:hAnsiTheme="majorHAnsi" w:cstheme="majorHAnsi"/>
        </w:rPr>
        <w:t>Greasewood Solar II</w:t>
      </w:r>
      <w:r w:rsidR="00283F32">
        <w:rPr>
          <w:rFonts w:asciiTheme="majorHAnsi" w:hAnsiTheme="majorHAnsi" w:cstheme="majorHAnsi"/>
        </w:rPr>
        <w:t xml:space="preserve"> </w:t>
      </w:r>
      <w:r w:rsidRPr="009A02FC">
        <w:rPr>
          <w:rFonts w:asciiTheme="majorHAnsi" w:hAnsiTheme="majorHAnsi" w:cstheme="majorHAnsi"/>
        </w:rPr>
        <w:t xml:space="preserve">is required to develop, maintain, and utilize (when necessary) an Emergency Operations Plan, pursuant to the requirements set forth in the PUCT Rule §25.53. </w:t>
      </w:r>
      <w:r w:rsidR="00CE38A7">
        <w:rPr>
          <w:rFonts w:asciiTheme="majorHAnsi" w:hAnsiTheme="majorHAnsi" w:cstheme="majorHAnsi"/>
        </w:rPr>
        <w:t>Greasewood Solar II</w:t>
      </w:r>
      <w:r w:rsidR="00283F32">
        <w:rPr>
          <w:rFonts w:asciiTheme="majorHAnsi" w:hAnsiTheme="majorHAnsi" w:cstheme="majorHAnsi"/>
        </w:rPr>
        <w:t xml:space="preserve"> </w:t>
      </w:r>
      <w:r w:rsidRPr="009A02FC">
        <w:rPr>
          <w:rFonts w:asciiTheme="majorHAnsi" w:hAnsiTheme="majorHAnsi" w:cstheme="majorHAnsi"/>
        </w:rPr>
        <w:t>has developed this plan to comply with the PUCT Substantive rule and applicable NERC Reliability Standards, as well as ensure a greater likelihood of continued operations during an emergency. This plan must be filed with the PUCT either (a) before COD if it is a new facility or (b) within 30 days of a substantive change to the plan. Any substantive change to the plan, made between November 1</w:t>
      </w:r>
      <w:r w:rsidRPr="009A02FC">
        <w:rPr>
          <w:rFonts w:asciiTheme="majorHAnsi" w:hAnsiTheme="majorHAnsi" w:cstheme="majorHAnsi"/>
          <w:vertAlign w:val="superscript"/>
        </w:rPr>
        <w:t>st</w:t>
      </w:r>
      <w:r w:rsidRPr="009A02FC">
        <w:rPr>
          <w:rFonts w:asciiTheme="majorHAnsi" w:hAnsiTheme="majorHAnsi" w:cstheme="majorHAnsi"/>
        </w:rPr>
        <w:t xml:space="preserve"> and April 30</w:t>
      </w:r>
      <w:r w:rsidRPr="009A02FC">
        <w:rPr>
          <w:rFonts w:asciiTheme="majorHAnsi" w:hAnsiTheme="majorHAnsi" w:cstheme="majorHAnsi"/>
          <w:vertAlign w:val="superscript"/>
        </w:rPr>
        <w:t>th</w:t>
      </w:r>
      <w:r w:rsidRPr="009A02FC">
        <w:rPr>
          <w:rFonts w:asciiTheme="majorHAnsi" w:hAnsiTheme="majorHAnsi" w:cstheme="majorHAnsi"/>
        </w:rPr>
        <w:t xml:space="preserve"> must be filed no later than June 1</w:t>
      </w:r>
      <w:r w:rsidRPr="009A02FC">
        <w:rPr>
          <w:rFonts w:asciiTheme="majorHAnsi" w:hAnsiTheme="majorHAnsi" w:cstheme="majorHAnsi"/>
          <w:vertAlign w:val="superscript"/>
        </w:rPr>
        <w:t>st</w:t>
      </w:r>
      <w:r w:rsidRPr="009A02FC">
        <w:rPr>
          <w:rFonts w:asciiTheme="majorHAnsi" w:hAnsiTheme="majorHAnsi" w:cstheme="majorHAnsi"/>
        </w:rPr>
        <w:t xml:space="preserve"> of that year. If a substantive change is made to the plan between May 1</w:t>
      </w:r>
      <w:r w:rsidRPr="009A02FC">
        <w:rPr>
          <w:rFonts w:asciiTheme="majorHAnsi" w:hAnsiTheme="majorHAnsi" w:cstheme="majorHAnsi"/>
          <w:vertAlign w:val="superscript"/>
        </w:rPr>
        <w:t>st</w:t>
      </w:r>
      <w:r w:rsidRPr="009A02FC">
        <w:rPr>
          <w:rFonts w:asciiTheme="majorHAnsi" w:hAnsiTheme="majorHAnsi" w:cstheme="majorHAnsi"/>
        </w:rPr>
        <w:t xml:space="preserve"> and October 31</w:t>
      </w:r>
      <w:r w:rsidRPr="009A02FC">
        <w:rPr>
          <w:rFonts w:asciiTheme="majorHAnsi" w:hAnsiTheme="majorHAnsi" w:cstheme="majorHAnsi"/>
          <w:vertAlign w:val="superscript"/>
        </w:rPr>
        <w:t>st</w:t>
      </w:r>
      <w:r w:rsidRPr="009A02FC">
        <w:rPr>
          <w:rFonts w:asciiTheme="majorHAnsi" w:hAnsiTheme="majorHAnsi" w:cstheme="majorHAnsi"/>
        </w:rPr>
        <w:t>, the submission date is no later than December 1</w:t>
      </w:r>
      <w:r w:rsidRPr="009A02FC">
        <w:rPr>
          <w:rFonts w:asciiTheme="majorHAnsi" w:hAnsiTheme="majorHAnsi" w:cstheme="majorHAnsi"/>
          <w:vertAlign w:val="superscript"/>
        </w:rPr>
        <w:t>st</w:t>
      </w:r>
      <w:r w:rsidRPr="009A02FC">
        <w:rPr>
          <w:rFonts w:asciiTheme="majorHAnsi" w:hAnsiTheme="majorHAnsi" w:cstheme="majorHAnsi"/>
        </w:rPr>
        <w:t xml:space="preserve"> of that same year. At all times, the most recent</w:t>
      </w:r>
      <w:r w:rsidR="00126861">
        <w:rPr>
          <w:rFonts w:asciiTheme="majorHAnsi" w:hAnsiTheme="majorHAnsi" w:cstheme="majorHAnsi"/>
        </w:rPr>
        <w:t>,</w:t>
      </w:r>
      <w:r w:rsidRPr="009A02FC">
        <w:rPr>
          <w:rFonts w:asciiTheme="majorHAnsi" w:hAnsiTheme="majorHAnsi" w:cstheme="majorHAnsi"/>
        </w:rPr>
        <w:t xml:space="preserve"> approved copy of the </w:t>
      </w:r>
      <w:r w:rsidR="00CE38A7">
        <w:rPr>
          <w:rFonts w:asciiTheme="majorHAnsi" w:hAnsiTheme="majorHAnsi" w:cstheme="majorHAnsi"/>
        </w:rPr>
        <w:t>Greasewood Solar II</w:t>
      </w:r>
      <w:r w:rsidR="0087293D">
        <w:rPr>
          <w:rFonts w:asciiTheme="majorHAnsi" w:hAnsiTheme="majorHAnsi" w:cstheme="majorHAnsi"/>
        </w:rPr>
        <w:t xml:space="preserve"> </w:t>
      </w:r>
      <w:r w:rsidRPr="009A02FC">
        <w:rPr>
          <w:rFonts w:asciiTheme="majorHAnsi" w:hAnsiTheme="majorHAnsi" w:cstheme="majorHAnsi"/>
        </w:rPr>
        <w:t xml:space="preserve">Emergency Operations Plan must be available at the </w:t>
      </w:r>
      <w:proofErr w:type="spellStart"/>
      <w:r w:rsidR="00727A0A">
        <w:rPr>
          <w:rFonts w:asciiTheme="majorHAnsi" w:hAnsiTheme="majorHAnsi" w:cstheme="majorHAnsi"/>
        </w:rPr>
        <w:t>Ashtrom</w:t>
      </w:r>
      <w:proofErr w:type="spellEnd"/>
      <w:r w:rsidR="00727A0A">
        <w:rPr>
          <w:rFonts w:asciiTheme="majorHAnsi" w:hAnsiTheme="majorHAnsi" w:cstheme="majorHAnsi"/>
        </w:rPr>
        <w:t xml:space="preserve"> Renewable Energy LLC</w:t>
      </w:r>
      <w:r w:rsidR="0087293D">
        <w:rPr>
          <w:rFonts w:asciiTheme="majorHAnsi" w:hAnsiTheme="majorHAnsi" w:cstheme="majorHAnsi"/>
        </w:rPr>
        <w:t xml:space="preserve"> </w:t>
      </w:r>
      <w:r w:rsidRPr="009A02FC">
        <w:rPr>
          <w:rFonts w:asciiTheme="majorHAnsi" w:hAnsiTheme="majorHAnsi" w:cstheme="majorHAnsi"/>
        </w:rPr>
        <w:t>main office for PUCT inspection.</w:t>
      </w:r>
    </w:p>
    <w:p w14:paraId="2AFAB7E3" w14:textId="69D29105"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For </w:t>
      </w:r>
      <w:r w:rsidR="00CE38A7">
        <w:rPr>
          <w:rFonts w:asciiTheme="majorHAnsi" w:hAnsiTheme="majorHAnsi" w:cstheme="majorHAnsi"/>
        </w:rPr>
        <w:t>Greasewood Solar II</w:t>
      </w:r>
      <w:r w:rsidRPr="009A02FC">
        <w:rPr>
          <w:rFonts w:asciiTheme="majorHAnsi" w:hAnsiTheme="majorHAnsi" w:cstheme="majorHAnsi"/>
        </w:rPr>
        <w:t xml:space="preserve">, a PGC, the PUCT has ordered the following information be included and/or addressed in the Emergency Operations Plan: </w:t>
      </w:r>
    </w:p>
    <w:p w14:paraId="6F6D449F" w14:textId="5E8A8239" w:rsidR="006962C9" w:rsidRPr="009A02FC" w:rsidRDefault="006962C9" w:rsidP="006962C9">
      <w:pPr>
        <w:pStyle w:val="Heading1"/>
        <w:numPr>
          <w:ilvl w:val="0"/>
          <w:numId w:val="2"/>
        </w:numPr>
        <w:rPr>
          <w:rFonts w:eastAsiaTheme="minorHAnsi" w:cstheme="majorHAnsi"/>
          <w:color w:val="auto"/>
          <w:sz w:val="22"/>
          <w:szCs w:val="22"/>
        </w:rPr>
      </w:pPr>
      <w:bookmarkStart w:id="1" w:name="_Toc100082197"/>
      <w:r w:rsidRPr="009A02FC">
        <w:rPr>
          <w:rFonts w:eastAsiaTheme="minorHAnsi" w:cstheme="majorHAnsi"/>
          <w:color w:val="auto"/>
          <w:sz w:val="22"/>
          <w:szCs w:val="22"/>
        </w:rPr>
        <w:t>Maintenance of Pre-identified Supplies for Emergency Response</w:t>
      </w:r>
      <w:bookmarkEnd w:id="1"/>
    </w:p>
    <w:p w14:paraId="02B2BE9F" w14:textId="31044409" w:rsidR="00F25425"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List of primary and, if possible, backup emergency contacts</w:t>
      </w:r>
    </w:p>
    <w:p w14:paraId="0BB2E0D1" w14:textId="01F1379F" w:rsidR="000F34B7"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Affidavit stating</w:t>
      </w:r>
      <w:r w:rsidR="00D927D6" w:rsidRPr="009A02FC">
        <w:rPr>
          <w:rFonts w:asciiTheme="majorHAnsi" w:hAnsiTheme="majorHAnsi" w:cstheme="majorHAnsi"/>
        </w:rPr>
        <w:t xml:space="preserve"> the following:</w:t>
      </w:r>
    </w:p>
    <w:p w14:paraId="72B254F9"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w:t>
      </w:r>
      <w:proofErr w:type="gramStart"/>
      <w:r w:rsidRPr="009A02FC">
        <w:rPr>
          <w:rFonts w:asciiTheme="majorHAnsi" w:eastAsia="Times New Roman" w:hAnsiTheme="majorHAnsi" w:cstheme="majorHAnsi"/>
        </w:rPr>
        <w:t>emergency;</w:t>
      </w:r>
      <w:proofErr w:type="gramEnd"/>
    </w:p>
    <w:p w14:paraId="3E72CA9F"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EOP has been reviewed and approved by the appropriate </w:t>
      </w:r>
      <w:proofErr w:type="gramStart"/>
      <w:r w:rsidRPr="009A02FC">
        <w:rPr>
          <w:rFonts w:asciiTheme="majorHAnsi" w:eastAsia="Times New Roman" w:hAnsiTheme="majorHAnsi" w:cstheme="majorHAnsi"/>
        </w:rPr>
        <w:t>executives;</w:t>
      </w:r>
      <w:proofErr w:type="gramEnd"/>
    </w:p>
    <w:p w14:paraId="54D3FA78"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Drills have been conducted to the extent required by subsection (f) of the </w:t>
      </w:r>
      <w:proofErr w:type="gramStart"/>
      <w:r w:rsidRPr="009A02FC">
        <w:rPr>
          <w:rFonts w:asciiTheme="majorHAnsi" w:eastAsia="Times New Roman" w:hAnsiTheme="majorHAnsi" w:cstheme="majorHAnsi"/>
        </w:rPr>
        <w:t>rule;</w:t>
      </w:r>
      <w:proofErr w:type="gramEnd"/>
    </w:p>
    <w:p w14:paraId="633CBD16"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EOP or an appropriate summary has been distributed to local jurisdictions as </w:t>
      </w:r>
      <w:proofErr w:type="gramStart"/>
      <w:r w:rsidRPr="009A02FC">
        <w:rPr>
          <w:rFonts w:asciiTheme="majorHAnsi" w:eastAsia="Times New Roman" w:hAnsiTheme="majorHAnsi" w:cstheme="majorHAnsi"/>
        </w:rPr>
        <w:t>needed;</w:t>
      </w:r>
      <w:proofErr w:type="gramEnd"/>
    </w:p>
    <w:p w14:paraId="2C2ED99F"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entity maintains a business continuity plan </w:t>
      </w:r>
      <w:proofErr w:type="gramStart"/>
      <w:r w:rsidRPr="009A02FC">
        <w:rPr>
          <w:rFonts w:asciiTheme="majorHAnsi" w:eastAsia="Times New Roman" w:hAnsiTheme="majorHAnsi" w:cstheme="majorHAnsi"/>
        </w:rPr>
        <w:t>that addresses</w:t>
      </w:r>
      <w:proofErr w:type="gramEnd"/>
      <w:r w:rsidRPr="009A02FC">
        <w:rPr>
          <w:rFonts w:asciiTheme="majorHAnsi" w:eastAsia="Times New Roman" w:hAnsiTheme="majorHAnsi" w:cstheme="majorHAnsi"/>
        </w:rPr>
        <w:t xml:space="preserve"> returning to normal operations after disruptions caused by an incident; and</w:t>
      </w:r>
    </w:p>
    <w:p w14:paraId="1C5F806E" w14:textId="1C7A17C0"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entity’s emergency management personnel who are designated to interact with local, state, and federal emergency management officials during emergency events have received the latest training</w:t>
      </w:r>
      <w:r w:rsidR="00A62719">
        <w:rPr>
          <w:rFonts w:asciiTheme="majorHAnsi" w:eastAsia="Times New Roman" w:hAnsiTheme="majorHAnsi" w:cstheme="majorHAnsi"/>
        </w:rPr>
        <w:t>.</w:t>
      </w:r>
    </w:p>
    <w:p w14:paraId="6C1DB344" w14:textId="77777777" w:rsidR="002B49D6" w:rsidRPr="009A02FC" w:rsidRDefault="002B49D6" w:rsidP="002B49D6">
      <w:pPr>
        <w:pStyle w:val="xmsolistparagraph"/>
        <w:numPr>
          <w:ilvl w:val="0"/>
          <w:numId w:val="2"/>
        </w:numPr>
        <w:ind w:right="120"/>
        <w:rPr>
          <w:rFonts w:asciiTheme="majorHAnsi" w:hAnsiTheme="majorHAnsi" w:cstheme="majorHAnsi"/>
        </w:rPr>
      </w:pPr>
      <w:r w:rsidRPr="009A02FC">
        <w:rPr>
          <w:rFonts w:asciiTheme="majorHAnsi" w:hAnsiTheme="majorHAnsi" w:cstheme="majorHAnsi"/>
          <w:b/>
          <w:bCs/>
        </w:rPr>
        <w:t xml:space="preserve">Annexes to be included in the EOP - </w:t>
      </w:r>
      <w:r w:rsidRPr="009A02FC">
        <w:rPr>
          <w:rFonts w:asciiTheme="majorHAnsi" w:hAnsiTheme="majorHAnsi" w:cstheme="majorHAnsi"/>
        </w:rPr>
        <w:t xml:space="preserve">A Generation resource/PGC must </w:t>
      </w:r>
      <w:proofErr w:type="gramStart"/>
      <w:r w:rsidRPr="009A02FC">
        <w:rPr>
          <w:rFonts w:asciiTheme="majorHAnsi" w:hAnsiTheme="majorHAnsi" w:cstheme="majorHAnsi"/>
        </w:rPr>
        <w:t>include</w:t>
      </w:r>
      <w:proofErr w:type="gramEnd"/>
    </w:p>
    <w:p w14:paraId="4A732B51" w14:textId="77777777" w:rsidR="002B49D6" w:rsidRPr="009A02FC" w:rsidRDefault="002B49D6" w:rsidP="002B49D6">
      <w:pPr>
        <w:pStyle w:val="xmsolistparagraph"/>
        <w:numPr>
          <w:ilvl w:val="1"/>
          <w:numId w:val="4"/>
        </w:numPr>
        <w:rPr>
          <w:rFonts w:asciiTheme="majorHAnsi" w:eastAsia="Times New Roman" w:hAnsiTheme="majorHAnsi" w:cstheme="majorHAnsi"/>
        </w:rPr>
      </w:pPr>
      <w:r w:rsidRPr="009A02FC">
        <w:rPr>
          <w:rFonts w:asciiTheme="majorHAnsi" w:eastAsia="Times New Roman" w:hAnsiTheme="majorHAnsi" w:cstheme="majorHAnsi"/>
        </w:rPr>
        <w:t xml:space="preserve">A weather emergency annex that </w:t>
      </w:r>
      <w:proofErr w:type="gramStart"/>
      <w:r w:rsidRPr="009A02FC">
        <w:rPr>
          <w:rFonts w:asciiTheme="majorHAnsi" w:eastAsia="Times New Roman" w:hAnsiTheme="majorHAnsi" w:cstheme="majorHAnsi"/>
        </w:rPr>
        <w:t>includes</w:t>
      </w:r>
      <w:proofErr w:type="gramEnd"/>
      <w:r w:rsidRPr="009A02FC">
        <w:rPr>
          <w:rFonts w:asciiTheme="majorHAnsi" w:eastAsia="Times New Roman" w:hAnsiTheme="majorHAnsi" w:cstheme="majorHAnsi"/>
        </w:rPr>
        <w:t xml:space="preserve"> </w:t>
      </w:r>
    </w:p>
    <w:p w14:paraId="3F51A6C1" w14:textId="69572F3E"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 xml:space="preserve">Operational plan for responding to a cold and hot weather emergency, distinct from the weather preparations required under § </w:t>
      </w:r>
      <w:proofErr w:type="gramStart"/>
      <w:r w:rsidRPr="009A02FC">
        <w:rPr>
          <w:rFonts w:asciiTheme="majorHAnsi" w:eastAsia="Times New Roman" w:hAnsiTheme="majorHAnsi" w:cstheme="majorHAnsi"/>
        </w:rPr>
        <w:t>25.55</w:t>
      </w:r>
      <w:proofErr w:type="gramEnd"/>
    </w:p>
    <w:p w14:paraId="50BC5243" w14:textId="39448B57" w:rsidR="0089746A" w:rsidRPr="009A02FC" w:rsidRDefault="0089746A" w:rsidP="0089746A">
      <w:pPr>
        <w:pStyle w:val="xmsolistparagraph"/>
        <w:numPr>
          <w:ilvl w:val="4"/>
          <w:numId w:val="5"/>
        </w:numPr>
        <w:rPr>
          <w:rFonts w:asciiTheme="majorHAnsi" w:eastAsia="Times New Roman" w:hAnsiTheme="majorHAnsi" w:cstheme="majorHAnsi"/>
        </w:rPr>
      </w:pPr>
      <w:r>
        <w:rPr>
          <w:rFonts w:asciiTheme="majorHAnsi" w:eastAsia="Times New Roman" w:hAnsiTheme="majorHAnsi" w:cstheme="majorHAnsi"/>
        </w:rPr>
        <w:t>EOP-001, page 7 and Annex W</w:t>
      </w:r>
    </w:p>
    <w:p w14:paraId="3A771C45" w14:textId="15A25230"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Verification of the adequacy and operability of fuel switching equipment, if installed; and</w:t>
      </w:r>
    </w:p>
    <w:p w14:paraId="1C02C28E" w14:textId="77777777" w:rsidR="00BF5756" w:rsidRPr="006E6C19" w:rsidRDefault="00BF5756" w:rsidP="00BF5756">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EOP-001, page 9. It is not applicable to this site.</w:t>
      </w:r>
    </w:p>
    <w:p w14:paraId="06845AF6" w14:textId="5AB0F343"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 xml:space="preserve">A checklist for generation resource personnel to use during a cold or hot weather emergency response that includes lessons learned from past </w:t>
      </w:r>
      <w:r w:rsidRPr="009A02FC">
        <w:rPr>
          <w:rFonts w:asciiTheme="majorHAnsi" w:eastAsia="Times New Roman" w:hAnsiTheme="majorHAnsi" w:cstheme="majorHAnsi"/>
        </w:rPr>
        <w:lastRenderedPageBreak/>
        <w:t>weather emergencies to ensure necessary supplies and personnel are available through the weather emergency</w:t>
      </w:r>
    </w:p>
    <w:p w14:paraId="2BE34ADE" w14:textId="77777777" w:rsidR="0034515C" w:rsidRPr="006E6C19" w:rsidRDefault="0034515C" w:rsidP="0034515C">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Annex D</w:t>
      </w:r>
    </w:p>
    <w:p w14:paraId="1EA24551" w14:textId="02F6C6D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water shortage annex that addresses supply shortages of water used in the generation of electricity;</w:t>
      </w:r>
    </w:p>
    <w:p w14:paraId="3FBEF108" w14:textId="77777777" w:rsidR="0051619B" w:rsidRPr="006E6C19" w:rsidRDefault="0051619B" w:rsidP="0051619B">
      <w:pPr>
        <w:pStyle w:val="xmsolistparagraph"/>
        <w:numPr>
          <w:ilvl w:val="2"/>
          <w:numId w:val="6"/>
        </w:numPr>
        <w:rPr>
          <w:rFonts w:asciiTheme="majorHAnsi" w:eastAsia="Times New Roman" w:hAnsiTheme="majorHAnsi" w:cstheme="majorHAnsi"/>
        </w:rPr>
      </w:pPr>
      <w:r w:rsidRPr="006E6C19">
        <w:rPr>
          <w:rFonts w:asciiTheme="majorHAnsi" w:eastAsia="Times New Roman" w:hAnsiTheme="majorHAnsi" w:cstheme="majorHAnsi"/>
        </w:rPr>
        <w:t>EOP-001, page 8. This is not applicable to this site.</w:t>
      </w:r>
    </w:p>
    <w:p w14:paraId="524A05DF" w14:textId="5BBD4DDD"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restoration of service annex that identifies plans intended to restore to service a generation resource that failed to start or that tripped offline due to a hazard or </w:t>
      </w:r>
      <w:proofErr w:type="gramStart"/>
      <w:r w:rsidRPr="009A02FC">
        <w:rPr>
          <w:rFonts w:asciiTheme="majorHAnsi" w:eastAsia="Times New Roman" w:hAnsiTheme="majorHAnsi" w:cstheme="majorHAnsi"/>
        </w:rPr>
        <w:t>threat;</w:t>
      </w:r>
      <w:proofErr w:type="gramEnd"/>
    </w:p>
    <w:p w14:paraId="0860FC4B" w14:textId="04AD61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E</w:t>
      </w:r>
      <w:r w:rsidR="00557CA4">
        <w:rPr>
          <w:rFonts w:asciiTheme="majorHAnsi" w:eastAsia="Times New Roman" w:hAnsiTheme="majorHAnsi" w:cstheme="majorHAnsi"/>
        </w:rPr>
        <w:t xml:space="preserve"> </w:t>
      </w:r>
    </w:p>
    <w:p w14:paraId="7CD026DB" w14:textId="60ACE92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pandemic and epidemic </w:t>
      </w:r>
      <w:proofErr w:type="gramStart"/>
      <w:r w:rsidRPr="009A02FC">
        <w:rPr>
          <w:rFonts w:asciiTheme="majorHAnsi" w:eastAsia="Times New Roman" w:hAnsiTheme="majorHAnsi" w:cstheme="majorHAnsi"/>
        </w:rPr>
        <w:t>annex;</w:t>
      </w:r>
      <w:proofErr w:type="gramEnd"/>
    </w:p>
    <w:p w14:paraId="6479E7EB" w14:textId="6D2A4F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F</w:t>
      </w:r>
    </w:p>
    <w:p w14:paraId="586FA082" w14:textId="0B4639B0"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hurricane annex that </w:t>
      </w:r>
      <w:proofErr w:type="gramStart"/>
      <w:r w:rsidRPr="009A02FC">
        <w:rPr>
          <w:rFonts w:asciiTheme="majorHAnsi" w:eastAsia="Times New Roman" w:hAnsiTheme="majorHAnsi" w:cstheme="majorHAnsi"/>
        </w:rPr>
        <w:t>include</w:t>
      </w:r>
      <w:proofErr w:type="gramEnd"/>
      <w:r w:rsidRPr="009A02FC">
        <w:rPr>
          <w:rFonts w:asciiTheme="majorHAnsi" w:eastAsia="Times New Roman" w:hAnsiTheme="majorHAnsi" w:cstheme="majorHAnsi"/>
        </w:rPr>
        <w:t xml:space="preserve"> evacuation and re-entry procedures if facilities are located within a hurricane evacuation zone, as defined by TDEM;</w:t>
      </w:r>
    </w:p>
    <w:p w14:paraId="201FC02C" w14:textId="589F547F"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L</w:t>
      </w:r>
    </w:p>
    <w:p w14:paraId="4D6D8C4B" w14:textId="737961ED"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cyber security </w:t>
      </w:r>
      <w:proofErr w:type="gramStart"/>
      <w:r w:rsidRPr="009A02FC">
        <w:rPr>
          <w:rFonts w:asciiTheme="majorHAnsi" w:eastAsia="Times New Roman" w:hAnsiTheme="majorHAnsi" w:cstheme="majorHAnsi"/>
        </w:rPr>
        <w:t>annex;</w:t>
      </w:r>
      <w:proofErr w:type="gramEnd"/>
    </w:p>
    <w:p w14:paraId="12AEC07B" w14:textId="426D388E"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G</w:t>
      </w:r>
    </w:p>
    <w:p w14:paraId="7EABF6C1" w14:textId="51AF3086"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physical security incident annex; and</w:t>
      </w:r>
    </w:p>
    <w:p w14:paraId="24A6CC20" w14:textId="12A6BF1D" w:rsidR="006B141D" w:rsidRPr="009A02FC" w:rsidRDefault="006B141D" w:rsidP="006B141D">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 xml:space="preserve">Annex </w:t>
      </w:r>
      <w:r w:rsidR="00557CA4">
        <w:rPr>
          <w:rFonts w:asciiTheme="majorHAnsi" w:eastAsia="Times New Roman" w:hAnsiTheme="majorHAnsi" w:cstheme="majorHAnsi"/>
        </w:rPr>
        <w:t>H</w:t>
      </w:r>
    </w:p>
    <w:p w14:paraId="26263E54" w14:textId="77777777" w:rsidR="002B49D6" w:rsidRPr="009A02FC"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Any additional annexes as needed or appropriate to the entity’s particular circumstances</w:t>
      </w:r>
    </w:p>
    <w:p w14:paraId="1DEF847D" w14:textId="24EEF409" w:rsidR="00D927D6" w:rsidRDefault="009A02FC" w:rsidP="00D927D6">
      <w:pPr>
        <w:pStyle w:val="ListParagraph"/>
        <w:numPr>
          <w:ilvl w:val="0"/>
          <w:numId w:val="2"/>
        </w:numPr>
        <w:rPr>
          <w:rFonts w:asciiTheme="majorHAnsi" w:hAnsiTheme="majorHAnsi" w:cstheme="majorHAnsi"/>
        </w:rPr>
      </w:pPr>
      <w:r w:rsidRPr="009A02FC">
        <w:rPr>
          <w:rFonts w:asciiTheme="majorHAnsi" w:hAnsiTheme="majorHAnsi" w:cstheme="majorHAnsi"/>
        </w:rPr>
        <w:t>Drills</w:t>
      </w:r>
    </w:p>
    <w:p w14:paraId="7E14B131" w14:textId="3132A9EA" w:rsidR="00664E99" w:rsidRDefault="00A15F2E" w:rsidP="00664E99">
      <w:pPr>
        <w:pStyle w:val="ListParagraph"/>
        <w:numPr>
          <w:ilvl w:val="1"/>
          <w:numId w:val="2"/>
        </w:numPr>
        <w:rPr>
          <w:rFonts w:asciiTheme="majorHAnsi" w:hAnsiTheme="majorHAnsi" w:cstheme="majorHAnsi"/>
        </w:rPr>
      </w:pPr>
      <w:r>
        <w:rPr>
          <w:rFonts w:asciiTheme="majorHAnsi" w:hAnsiTheme="majorHAnsi" w:cstheme="majorHAnsi"/>
        </w:rPr>
        <w:t>Attachment</w:t>
      </w:r>
      <w:r w:rsidR="00664E99">
        <w:rPr>
          <w:rFonts w:asciiTheme="majorHAnsi" w:hAnsiTheme="majorHAnsi" w:cstheme="majorHAnsi"/>
        </w:rPr>
        <w:t xml:space="preserve"> B</w:t>
      </w:r>
      <w:r>
        <w:rPr>
          <w:rFonts w:asciiTheme="majorHAnsi" w:hAnsiTheme="majorHAnsi" w:cstheme="majorHAnsi"/>
        </w:rPr>
        <w:t xml:space="preserve"> of </w:t>
      </w:r>
      <w:r w:rsidR="00CE38A7">
        <w:rPr>
          <w:rFonts w:asciiTheme="majorHAnsi" w:hAnsiTheme="majorHAnsi" w:cstheme="majorHAnsi"/>
          <w:i/>
          <w:iCs/>
        </w:rPr>
        <w:t>Greasewood Solar II</w:t>
      </w:r>
      <w:r w:rsidR="00E0596B">
        <w:rPr>
          <w:rFonts w:asciiTheme="majorHAnsi" w:hAnsiTheme="majorHAnsi" w:cstheme="majorHAnsi"/>
          <w:i/>
          <w:iCs/>
        </w:rPr>
        <w:t xml:space="preserve"> </w:t>
      </w:r>
      <w:r w:rsidRPr="00A15F2E">
        <w:rPr>
          <w:rFonts w:asciiTheme="majorHAnsi" w:hAnsiTheme="majorHAnsi" w:cstheme="majorHAnsi"/>
          <w:i/>
          <w:iCs/>
        </w:rPr>
        <w:t>-PGCEOP-1.0 Emergency Operations Plan - Attachments B-E</w:t>
      </w:r>
    </w:p>
    <w:p w14:paraId="32A934B8" w14:textId="3764236D" w:rsidR="009A02FC" w:rsidRPr="009A02FC" w:rsidRDefault="009A02FC" w:rsidP="009A02FC">
      <w:pPr>
        <w:rPr>
          <w:rFonts w:asciiTheme="majorHAnsi" w:hAnsiTheme="majorHAnsi" w:cstheme="majorHAnsi"/>
        </w:rPr>
      </w:pPr>
      <w:r>
        <w:rPr>
          <w:rFonts w:asciiTheme="majorHAnsi" w:hAnsiTheme="majorHAnsi" w:cstheme="majorHAnsi"/>
        </w:rPr>
        <w:t xml:space="preserve">As a registered PGC, it is </w:t>
      </w:r>
      <w:r w:rsidR="006B12D3">
        <w:rPr>
          <w:rFonts w:asciiTheme="majorHAnsi" w:hAnsiTheme="majorHAnsi" w:cstheme="majorHAnsi"/>
        </w:rPr>
        <w:t>the</w:t>
      </w:r>
      <w:r>
        <w:rPr>
          <w:rFonts w:asciiTheme="majorHAnsi" w:hAnsiTheme="majorHAnsi" w:cstheme="majorHAnsi"/>
        </w:rPr>
        <w:t xml:space="preserve"> intent </w:t>
      </w:r>
      <w:r w:rsidR="006B12D3">
        <w:rPr>
          <w:rFonts w:asciiTheme="majorHAnsi" w:hAnsiTheme="majorHAnsi" w:cstheme="majorHAnsi"/>
        </w:rPr>
        <w:t xml:space="preserve">of </w:t>
      </w:r>
      <w:r w:rsidR="00CE38A7">
        <w:rPr>
          <w:rFonts w:asciiTheme="majorHAnsi" w:hAnsiTheme="majorHAnsi" w:cstheme="majorHAnsi"/>
        </w:rPr>
        <w:t>Greasewood Solar II</w:t>
      </w:r>
      <w:r w:rsidR="00283F32">
        <w:rPr>
          <w:rFonts w:asciiTheme="majorHAnsi" w:hAnsiTheme="majorHAnsi" w:cstheme="majorHAnsi"/>
        </w:rPr>
        <w:t xml:space="preserve"> </w:t>
      </w:r>
      <w:r>
        <w:rPr>
          <w:rFonts w:asciiTheme="majorHAnsi" w:hAnsiTheme="majorHAnsi" w:cstheme="majorHAnsi"/>
        </w:rPr>
        <w:t>to fully comply with all requirements and expectations of the Public Utilities Commission of Texas</w:t>
      </w:r>
      <w:r w:rsidR="00A62719">
        <w:rPr>
          <w:rFonts w:asciiTheme="majorHAnsi" w:hAnsiTheme="majorHAnsi" w:cstheme="majorHAnsi"/>
        </w:rPr>
        <w:t>, all applicable ERCOT protocols, Operating Guides, and Planning Guides, and Applicable NERC Reliability Standards</w:t>
      </w:r>
      <w:r w:rsidR="00672965">
        <w:rPr>
          <w:rFonts w:asciiTheme="majorHAnsi" w:hAnsiTheme="majorHAnsi" w:cstheme="majorHAnsi"/>
        </w:rPr>
        <w:t>.</w:t>
      </w:r>
    </w:p>
    <w:p w14:paraId="75913426" w14:textId="77777777" w:rsidR="00F25425" w:rsidRPr="00F25425" w:rsidRDefault="00F25425" w:rsidP="00F25425"/>
    <w:p w14:paraId="04FB1156" w14:textId="7D11A9CC" w:rsidR="003548A7" w:rsidRDefault="003548A7">
      <w:r>
        <w:br w:type="page"/>
      </w:r>
    </w:p>
    <w:p w14:paraId="23134AF8" w14:textId="5EACEA38" w:rsidR="00790C63" w:rsidRDefault="00790C63" w:rsidP="00790C63">
      <w:r>
        <w:lastRenderedPageBreak/>
        <w:t xml:space="preserve">The following individuals are responsible for maintaining, implementing, and revising the </w:t>
      </w:r>
      <w:r w:rsidR="00C07BE8">
        <w:t>Executive Summary</w:t>
      </w:r>
      <w:r>
        <w:t>.</w:t>
      </w:r>
    </w:p>
    <w:p w14:paraId="362FCC62" w14:textId="77777777" w:rsidR="00790C63" w:rsidRDefault="00790C63" w:rsidP="00790C63"/>
    <w:tbl>
      <w:tblPr>
        <w:tblStyle w:val="TableGrid"/>
        <w:tblW w:w="0" w:type="auto"/>
        <w:tblLook w:val="04A0" w:firstRow="1" w:lastRow="0" w:firstColumn="1" w:lastColumn="0" w:noHBand="0" w:noVBand="1"/>
      </w:tblPr>
      <w:tblGrid>
        <w:gridCol w:w="3209"/>
        <w:gridCol w:w="3150"/>
        <w:gridCol w:w="2991"/>
      </w:tblGrid>
      <w:tr w:rsidR="00790C63" w14:paraId="5D789B0F" w14:textId="77777777" w:rsidTr="00A76468">
        <w:tc>
          <w:tcPr>
            <w:tcW w:w="3209" w:type="dxa"/>
          </w:tcPr>
          <w:p w14:paraId="62C0AB19" w14:textId="77777777" w:rsidR="00790C63" w:rsidRPr="00FE6EE9" w:rsidRDefault="00790C63" w:rsidP="00A76468">
            <w:pPr>
              <w:rPr>
                <w:b/>
                <w:bCs/>
              </w:rPr>
            </w:pPr>
            <w:r w:rsidRPr="00FE6EE9">
              <w:rPr>
                <w:b/>
                <w:bCs/>
              </w:rPr>
              <w:t>Name</w:t>
            </w:r>
          </w:p>
        </w:tc>
        <w:tc>
          <w:tcPr>
            <w:tcW w:w="3150" w:type="dxa"/>
          </w:tcPr>
          <w:p w14:paraId="1470B800" w14:textId="77777777" w:rsidR="00790C63" w:rsidRPr="00FE6EE9" w:rsidRDefault="00790C63" w:rsidP="00A76468">
            <w:pPr>
              <w:rPr>
                <w:b/>
                <w:bCs/>
              </w:rPr>
            </w:pPr>
            <w:r w:rsidRPr="00FE6EE9">
              <w:rPr>
                <w:b/>
                <w:bCs/>
              </w:rPr>
              <w:t>Title</w:t>
            </w:r>
          </w:p>
        </w:tc>
        <w:tc>
          <w:tcPr>
            <w:tcW w:w="2991" w:type="dxa"/>
          </w:tcPr>
          <w:p w14:paraId="434F8A47" w14:textId="77777777" w:rsidR="00790C63" w:rsidRPr="00FE6EE9" w:rsidRDefault="00790C63" w:rsidP="00A76468">
            <w:pPr>
              <w:rPr>
                <w:b/>
                <w:bCs/>
              </w:rPr>
            </w:pPr>
            <w:r w:rsidRPr="00FE6EE9">
              <w:rPr>
                <w:b/>
                <w:bCs/>
              </w:rPr>
              <w:t>Permission(s)</w:t>
            </w:r>
          </w:p>
        </w:tc>
      </w:tr>
      <w:tr w:rsidR="00790C63" w14:paraId="58F57E72" w14:textId="77777777" w:rsidTr="00A76468">
        <w:tc>
          <w:tcPr>
            <w:tcW w:w="3209" w:type="dxa"/>
          </w:tcPr>
          <w:p w14:paraId="76E18369" w14:textId="77777777" w:rsidR="00790C63" w:rsidRPr="003B677D" w:rsidRDefault="00790C63" w:rsidP="00A76468">
            <w:pPr>
              <w:rPr>
                <w:highlight w:val="yellow"/>
              </w:rPr>
            </w:pPr>
            <w:r>
              <w:t>Zahi Harel</w:t>
            </w:r>
          </w:p>
        </w:tc>
        <w:tc>
          <w:tcPr>
            <w:tcW w:w="3150" w:type="dxa"/>
          </w:tcPr>
          <w:p w14:paraId="447B41BD" w14:textId="77777777" w:rsidR="00790C63" w:rsidRPr="003B677D" w:rsidRDefault="00790C63" w:rsidP="00A76468">
            <w:pPr>
              <w:rPr>
                <w:highlight w:val="yellow"/>
              </w:rPr>
            </w:pPr>
            <w:r>
              <w:t>Managing Director, US</w:t>
            </w:r>
          </w:p>
        </w:tc>
        <w:tc>
          <w:tcPr>
            <w:tcW w:w="2991" w:type="dxa"/>
          </w:tcPr>
          <w:p w14:paraId="4795CD65" w14:textId="77777777" w:rsidR="00790C63" w:rsidRDefault="00790C63" w:rsidP="00A76468">
            <w:r w:rsidRPr="006B7F6E">
              <w:t>Maintain</w:t>
            </w:r>
            <w:r>
              <w:t>/Implement</w:t>
            </w:r>
          </w:p>
        </w:tc>
      </w:tr>
      <w:tr w:rsidR="00790C63" w14:paraId="4CC717A4" w14:textId="77777777" w:rsidTr="00A76468">
        <w:tc>
          <w:tcPr>
            <w:tcW w:w="3209" w:type="dxa"/>
          </w:tcPr>
          <w:p w14:paraId="5D00C4B0" w14:textId="77777777" w:rsidR="00790C63" w:rsidRPr="003B677D" w:rsidRDefault="00790C63" w:rsidP="00A76468">
            <w:pPr>
              <w:rPr>
                <w:highlight w:val="yellow"/>
              </w:rPr>
            </w:pPr>
            <w:r>
              <w:t>Dikla Fhima</w:t>
            </w:r>
          </w:p>
        </w:tc>
        <w:tc>
          <w:tcPr>
            <w:tcW w:w="3150" w:type="dxa"/>
          </w:tcPr>
          <w:p w14:paraId="018675A6" w14:textId="77777777" w:rsidR="00790C63" w:rsidRPr="003B677D" w:rsidRDefault="00790C63" w:rsidP="00A76468">
            <w:pPr>
              <w:rPr>
                <w:highlight w:val="yellow"/>
              </w:rPr>
            </w:pPr>
            <w:r>
              <w:t>VP, Engineering and Projects</w:t>
            </w:r>
          </w:p>
        </w:tc>
        <w:tc>
          <w:tcPr>
            <w:tcW w:w="2991" w:type="dxa"/>
          </w:tcPr>
          <w:p w14:paraId="1E5C0F63" w14:textId="77777777" w:rsidR="00790C63" w:rsidRDefault="00790C63" w:rsidP="00A76468">
            <w:r w:rsidRPr="006B7F6E">
              <w:t>Maintain</w:t>
            </w:r>
            <w:r>
              <w:t>/Implement</w:t>
            </w:r>
          </w:p>
        </w:tc>
      </w:tr>
      <w:tr w:rsidR="00790C63" w14:paraId="14708D0C" w14:textId="77777777" w:rsidTr="00A76468">
        <w:tc>
          <w:tcPr>
            <w:tcW w:w="3209" w:type="dxa"/>
          </w:tcPr>
          <w:p w14:paraId="0CE2C948" w14:textId="77777777" w:rsidR="00790C63" w:rsidRPr="003B677D" w:rsidRDefault="00790C63" w:rsidP="00A76468">
            <w:pPr>
              <w:rPr>
                <w:highlight w:val="yellow"/>
              </w:rPr>
            </w:pPr>
            <w:r w:rsidRPr="006B7F6E">
              <w:t>JC Culberson</w:t>
            </w:r>
          </w:p>
        </w:tc>
        <w:tc>
          <w:tcPr>
            <w:tcW w:w="3150" w:type="dxa"/>
          </w:tcPr>
          <w:p w14:paraId="73509117" w14:textId="77777777" w:rsidR="00790C63" w:rsidRPr="003B677D" w:rsidRDefault="00790C63" w:rsidP="00A76468">
            <w:pPr>
              <w:rPr>
                <w:highlight w:val="yellow"/>
              </w:rPr>
            </w:pPr>
            <w:r w:rsidRPr="006B7F6E">
              <w:t>EPE - Director of NERC and Regulatory Compliance</w:t>
            </w:r>
          </w:p>
        </w:tc>
        <w:tc>
          <w:tcPr>
            <w:tcW w:w="2991" w:type="dxa"/>
          </w:tcPr>
          <w:p w14:paraId="74DB1990" w14:textId="77777777" w:rsidR="00790C63" w:rsidRDefault="00790C63" w:rsidP="00A76468">
            <w:r w:rsidRPr="006B7F6E">
              <w:t>Revise</w:t>
            </w:r>
          </w:p>
        </w:tc>
      </w:tr>
    </w:tbl>
    <w:p w14:paraId="3CDFAFD8" w14:textId="77777777" w:rsidR="00790C63" w:rsidRDefault="00790C63" w:rsidP="00790C63"/>
    <w:p w14:paraId="6C69CAEE" w14:textId="6868B5DA" w:rsidR="00790C63" w:rsidRDefault="00790C63" w:rsidP="00790C63">
      <w:pPr>
        <w:pStyle w:val="ListParagraph"/>
        <w:numPr>
          <w:ilvl w:val="0"/>
          <w:numId w:val="7"/>
        </w:numPr>
        <w:spacing w:after="0" w:line="240" w:lineRule="auto"/>
      </w:pPr>
      <w:r w:rsidRPr="00536E14">
        <w:t xml:space="preserve">provides a revision control summary that lists the dates of each change made to </w:t>
      </w:r>
      <w:r w:rsidR="00C07BE8">
        <w:t>Executive Summary</w:t>
      </w:r>
      <w:r w:rsidRPr="00536E14">
        <w:t xml:space="preserve"> </w:t>
      </w:r>
      <w:r>
        <w:t>adoption</w:t>
      </w:r>
      <w:r w:rsidRPr="00536E14">
        <w:t xml:space="preserve"> since the initial </w:t>
      </w:r>
      <w:r w:rsidR="00C07BE8">
        <w:t xml:space="preserve">Executive Summary </w:t>
      </w:r>
      <w:r>
        <w:t>adoption</w:t>
      </w:r>
      <w:r w:rsidRPr="00536E14">
        <w:t>.</w:t>
      </w:r>
    </w:p>
    <w:p w14:paraId="319B0805" w14:textId="77777777" w:rsidR="00790C63" w:rsidRDefault="00790C63" w:rsidP="00790C63"/>
    <w:tbl>
      <w:tblPr>
        <w:tblStyle w:val="TableGrid"/>
        <w:tblW w:w="0" w:type="auto"/>
        <w:tblLook w:val="04A0" w:firstRow="1" w:lastRow="0" w:firstColumn="1" w:lastColumn="0" w:noHBand="0" w:noVBand="1"/>
      </w:tblPr>
      <w:tblGrid>
        <w:gridCol w:w="2337"/>
        <w:gridCol w:w="2337"/>
        <w:gridCol w:w="2338"/>
        <w:gridCol w:w="2338"/>
      </w:tblGrid>
      <w:tr w:rsidR="00790C63" w14:paraId="6A9C29B4" w14:textId="77777777" w:rsidTr="00A76468">
        <w:tc>
          <w:tcPr>
            <w:tcW w:w="2337" w:type="dxa"/>
            <w:vAlign w:val="center"/>
          </w:tcPr>
          <w:p w14:paraId="238F6F86" w14:textId="77777777" w:rsidR="00790C63" w:rsidRPr="00626E77" w:rsidRDefault="00790C63" w:rsidP="00A76468">
            <w:pPr>
              <w:rPr>
                <w:b/>
                <w:bCs/>
              </w:rPr>
            </w:pPr>
            <w:r w:rsidRPr="00626E77">
              <w:rPr>
                <w:b/>
                <w:bCs/>
              </w:rPr>
              <w:t>Version</w:t>
            </w:r>
          </w:p>
        </w:tc>
        <w:tc>
          <w:tcPr>
            <w:tcW w:w="2337" w:type="dxa"/>
          </w:tcPr>
          <w:p w14:paraId="50B63B00" w14:textId="77777777" w:rsidR="00790C63" w:rsidRPr="00626E77" w:rsidRDefault="00790C63" w:rsidP="00A76468">
            <w:pPr>
              <w:rPr>
                <w:b/>
                <w:bCs/>
              </w:rPr>
            </w:pPr>
            <w:r>
              <w:rPr>
                <w:b/>
                <w:bCs/>
              </w:rPr>
              <w:t>Approval</w:t>
            </w:r>
            <w:r w:rsidRPr="00626E77">
              <w:rPr>
                <w:b/>
                <w:bCs/>
              </w:rPr>
              <w:t xml:space="preserve"> Date</w:t>
            </w:r>
          </w:p>
        </w:tc>
        <w:tc>
          <w:tcPr>
            <w:tcW w:w="2338" w:type="dxa"/>
          </w:tcPr>
          <w:p w14:paraId="7A02483D" w14:textId="77777777" w:rsidR="00790C63" w:rsidRPr="00626E77" w:rsidRDefault="00790C63" w:rsidP="00A76468">
            <w:pPr>
              <w:rPr>
                <w:b/>
                <w:bCs/>
              </w:rPr>
            </w:pPr>
            <w:r w:rsidRPr="00626E77">
              <w:rPr>
                <w:b/>
                <w:bCs/>
              </w:rPr>
              <w:t>Effective Date</w:t>
            </w:r>
          </w:p>
        </w:tc>
        <w:tc>
          <w:tcPr>
            <w:tcW w:w="2338" w:type="dxa"/>
          </w:tcPr>
          <w:p w14:paraId="449A32D0" w14:textId="77777777" w:rsidR="00790C63" w:rsidRPr="00626E77" w:rsidRDefault="00790C63" w:rsidP="00A76468">
            <w:pPr>
              <w:rPr>
                <w:b/>
                <w:bCs/>
              </w:rPr>
            </w:pPr>
            <w:r w:rsidRPr="00626E77">
              <w:rPr>
                <w:b/>
                <w:bCs/>
              </w:rPr>
              <w:t>Revision Summary</w:t>
            </w:r>
          </w:p>
        </w:tc>
      </w:tr>
      <w:tr w:rsidR="00790C63" w14:paraId="23699E79" w14:textId="77777777" w:rsidTr="00A76468">
        <w:tc>
          <w:tcPr>
            <w:tcW w:w="2337" w:type="dxa"/>
            <w:vAlign w:val="center"/>
          </w:tcPr>
          <w:p w14:paraId="03F8DDEC" w14:textId="77777777" w:rsidR="00790C63" w:rsidRDefault="00790C63" w:rsidP="00A76468">
            <w:r>
              <w:t>1.0</w:t>
            </w:r>
          </w:p>
        </w:tc>
        <w:tc>
          <w:tcPr>
            <w:tcW w:w="2337" w:type="dxa"/>
            <w:vAlign w:val="center"/>
          </w:tcPr>
          <w:p w14:paraId="7D66600D" w14:textId="77777777" w:rsidR="00790C63" w:rsidRDefault="00790C63" w:rsidP="00A76468">
            <w:r>
              <w:t>12/</w:t>
            </w:r>
            <w:r w:rsidRPr="00A14CAB">
              <w:rPr>
                <w:highlight w:val="yellow"/>
              </w:rPr>
              <w:t>XX</w:t>
            </w:r>
            <w:r>
              <w:t>/2023</w:t>
            </w:r>
          </w:p>
        </w:tc>
        <w:tc>
          <w:tcPr>
            <w:tcW w:w="2338" w:type="dxa"/>
            <w:vAlign w:val="center"/>
          </w:tcPr>
          <w:p w14:paraId="5B7FD133" w14:textId="77777777" w:rsidR="00790C63" w:rsidRDefault="00790C63" w:rsidP="00A76468">
            <w:r>
              <w:t>12/</w:t>
            </w:r>
            <w:r w:rsidRPr="00A14CAB">
              <w:rPr>
                <w:highlight w:val="yellow"/>
              </w:rPr>
              <w:t>XX</w:t>
            </w:r>
            <w:r>
              <w:t>/2023</w:t>
            </w:r>
          </w:p>
        </w:tc>
        <w:tc>
          <w:tcPr>
            <w:tcW w:w="2338" w:type="dxa"/>
            <w:vAlign w:val="center"/>
          </w:tcPr>
          <w:p w14:paraId="518982BE" w14:textId="143CFE9E" w:rsidR="00790C63" w:rsidRDefault="00C07BE8" w:rsidP="00A76468">
            <w:r>
              <w:t>Executive Summary</w:t>
            </w:r>
          </w:p>
        </w:tc>
      </w:tr>
      <w:tr w:rsidR="00790C63" w14:paraId="7A9B14C3" w14:textId="77777777" w:rsidTr="00A76468">
        <w:tc>
          <w:tcPr>
            <w:tcW w:w="2337" w:type="dxa"/>
            <w:vAlign w:val="center"/>
          </w:tcPr>
          <w:p w14:paraId="25F14D91" w14:textId="77777777" w:rsidR="00790C63" w:rsidRDefault="00790C63" w:rsidP="00A76468"/>
        </w:tc>
        <w:tc>
          <w:tcPr>
            <w:tcW w:w="2337" w:type="dxa"/>
            <w:vAlign w:val="center"/>
          </w:tcPr>
          <w:p w14:paraId="353983B3" w14:textId="77777777" w:rsidR="00790C63" w:rsidRDefault="00790C63" w:rsidP="00A76468"/>
        </w:tc>
        <w:tc>
          <w:tcPr>
            <w:tcW w:w="2338" w:type="dxa"/>
            <w:vAlign w:val="center"/>
          </w:tcPr>
          <w:p w14:paraId="7A7E4390" w14:textId="77777777" w:rsidR="00790C63" w:rsidRDefault="00790C63" w:rsidP="00A76468"/>
        </w:tc>
        <w:tc>
          <w:tcPr>
            <w:tcW w:w="2338" w:type="dxa"/>
            <w:vAlign w:val="center"/>
          </w:tcPr>
          <w:p w14:paraId="58F2EDD6" w14:textId="77777777" w:rsidR="00790C63" w:rsidRDefault="00790C63" w:rsidP="00A76468"/>
        </w:tc>
      </w:tr>
    </w:tbl>
    <w:p w14:paraId="2A787DDE" w14:textId="77777777" w:rsidR="00790C63" w:rsidRDefault="00790C63" w:rsidP="00790C63"/>
    <w:p w14:paraId="6B817F65" w14:textId="4175617A" w:rsidR="00790C63" w:rsidRPr="002C7B9B" w:rsidRDefault="00790C63" w:rsidP="00790C63">
      <w:pPr>
        <w:rPr>
          <w:b/>
          <w:bCs/>
          <w:i/>
          <w:iCs/>
        </w:rPr>
      </w:pPr>
      <w:r w:rsidRPr="002C7B9B">
        <w:rPr>
          <w:b/>
          <w:bCs/>
          <w:i/>
          <w:iCs/>
        </w:rPr>
        <w:t xml:space="preserve">As of </w:t>
      </w:r>
      <w:r>
        <w:rPr>
          <w:b/>
          <w:bCs/>
          <w:i/>
          <w:iCs/>
        </w:rPr>
        <w:t>12</w:t>
      </w:r>
      <w:r w:rsidRPr="00766F55">
        <w:rPr>
          <w:b/>
          <w:bCs/>
          <w:i/>
          <w:iCs/>
        </w:rPr>
        <w:t>/</w:t>
      </w:r>
      <w:r w:rsidRPr="00A14CAB">
        <w:rPr>
          <w:b/>
          <w:bCs/>
          <w:i/>
          <w:iCs/>
          <w:highlight w:val="yellow"/>
        </w:rPr>
        <w:t>XX</w:t>
      </w:r>
      <w:r w:rsidRPr="00766F55">
        <w:rPr>
          <w:b/>
          <w:bCs/>
          <w:i/>
          <w:iCs/>
        </w:rPr>
        <w:t>/2023</w:t>
      </w:r>
      <w:r w:rsidRPr="002C7B9B">
        <w:rPr>
          <w:b/>
          <w:bCs/>
          <w:i/>
          <w:iCs/>
        </w:rPr>
        <w:t xml:space="preserve">, </w:t>
      </w:r>
      <w:r w:rsidR="00C07BE8" w:rsidRPr="00C07BE8">
        <w:rPr>
          <w:b/>
          <w:bCs/>
          <w:i/>
          <w:iCs/>
        </w:rPr>
        <w:t xml:space="preserve">Executive Summary </w:t>
      </w:r>
      <w:r w:rsidRPr="002C7B9B">
        <w:rPr>
          <w:b/>
          <w:bCs/>
          <w:i/>
          <w:iCs/>
        </w:rPr>
        <w:t xml:space="preserve">Version 1.0, approved on </w:t>
      </w:r>
      <w:r>
        <w:rPr>
          <w:b/>
          <w:bCs/>
          <w:i/>
          <w:iCs/>
        </w:rPr>
        <w:t>12</w:t>
      </w:r>
      <w:r w:rsidRPr="00766F55">
        <w:rPr>
          <w:b/>
          <w:bCs/>
          <w:i/>
          <w:iCs/>
        </w:rPr>
        <w:t>/</w:t>
      </w:r>
      <w:r w:rsidRPr="000F3720">
        <w:rPr>
          <w:b/>
          <w:bCs/>
          <w:i/>
          <w:iCs/>
        </w:rPr>
        <w:t>XX</w:t>
      </w:r>
      <w:r w:rsidRPr="00766F55">
        <w:rPr>
          <w:b/>
          <w:bCs/>
          <w:i/>
          <w:iCs/>
        </w:rPr>
        <w:t>/2023</w:t>
      </w:r>
      <w:r w:rsidRPr="002C7B9B">
        <w:rPr>
          <w:b/>
          <w:bCs/>
          <w:i/>
          <w:iCs/>
        </w:rPr>
        <w:t xml:space="preserve">, supersedes all previous </w:t>
      </w:r>
      <w:r w:rsidR="00C07BE8" w:rsidRPr="00C07BE8">
        <w:rPr>
          <w:b/>
          <w:bCs/>
          <w:i/>
          <w:iCs/>
        </w:rPr>
        <w:t xml:space="preserve">Executive Summary </w:t>
      </w:r>
      <w:r w:rsidRPr="000F3720">
        <w:rPr>
          <w:b/>
          <w:bCs/>
          <w:i/>
          <w:iCs/>
        </w:rPr>
        <w:t>adoption</w:t>
      </w:r>
      <w:r w:rsidRPr="002C7B9B">
        <w:rPr>
          <w:b/>
          <w:bCs/>
          <w:i/>
          <w:iCs/>
        </w:rPr>
        <w:t>s.</w:t>
      </w:r>
    </w:p>
    <w:p w14:paraId="29ABF2D1" w14:textId="77777777" w:rsidR="00E30D68" w:rsidRPr="00E30D68" w:rsidRDefault="00E30D68" w:rsidP="00A71C91">
      <w:pPr>
        <w:spacing w:after="0"/>
      </w:pPr>
    </w:p>
    <w:sectPr w:rsidR="00E30D68" w:rsidRPr="00E30D68" w:rsidSect="00473DDF">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45EF" w14:textId="77777777" w:rsidR="007A2758" w:rsidRDefault="007A2758" w:rsidP="00542858">
      <w:pPr>
        <w:spacing w:after="0" w:line="240" w:lineRule="auto"/>
      </w:pPr>
      <w:r>
        <w:separator/>
      </w:r>
    </w:p>
  </w:endnote>
  <w:endnote w:type="continuationSeparator" w:id="0">
    <w:p w14:paraId="3E7A99AC" w14:textId="77777777" w:rsidR="007A2758" w:rsidRDefault="007A2758"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12292143" w:rsidR="00633260" w:rsidRPr="00767520" w:rsidRDefault="00126861">
    <w:pPr>
      <w:pStyle w:val="Footer"/>
      <w:rPr>
        <w:color w:val="1F3864" w:themeColor="accent1" w:themeShade="80"/>
        <w:sz w:val="20"/>
        <w:szCs w:val="20"/>
      </w:rPr>
    </w:pPr>
    <w:r>
      <w:rPr>
        <w:color w:val="1F3864" w:themeColor="accent1" w:themeShade="80"/>
        <w:sz w:val="20"/>
        <w:szCs w:val="20"/>
      </w:rPr>
      <w:t>Greasewood Solar II</w:t>
    </w:r>
    <w:r w:rsidR="00E0596B">
      <w:rPr>
        <w:color w:val="1F3864" w:themeColor="accent1" w:themeShade="80"/>
        <w:sz w:val="20"/>
        <w:szCs w:val="20"/>
      </w:rPr>
      <w:t xml:space="preserve"> </w:t>
    </w:r>
    <w:r w:rsidR="00633260" w:rsidRPr="00767520">
      <w:rPr>
        <w:color w:val="1F3864" w:themeColor="accent1" w:themeShade="80"/>
        <w:sz w:val="20"/>
        <w:szCs w:val="20"/>
      </w:rPr>
      <w:t>-</w:t>
    </w:r>
    <w:r w:rsidR="00443036">
      <w:rPr>
        <w:color w:val="1F3864" w:themeColor="accent1" w:themeShade="80"/>
        <w:sz w:val="20"/>
        <w:szCs w:val="20"/>
      </w:rPr>
      <w:t>PGC</w:t>
    </w:r>
    <w:r w:rsidR="00633260" w:rsidRPr="00767520">
      <w:rPr>
        <w:color w:val="1F3864" w:themeColor="accent1" w:themeShade="80"/>
        <w:sz w:val="20"/>
        <w:szCs w:val="20"/>
      </w:rPr>
      <w:t>EOP</w:t>
    </w:r>
    <w:r w:rsidR="00767520" w:rsidRPr="00767520">
      <w:rPr>
        <w:color w:val="1F3864" w:themeColor="accent1" w:themeShade="80"/>
        <w:sz w:val="20"/>
        <w:szCs w:val="20"/>
      </w:rPr>
      <w:t>-</w:t>
    </w:r>
    <w:r w:rsidR="00633260" w:rsidRPr="00767520">
      <w:rPr>
        <w:color w:val="1F3864" w:themeColor="accent1" w:themeShade="80"/>
        <w:sz w:val="20"/>
        <w:szCs w:val="20"/>
      </w:rPr>
      <w:t xml:space="preserve"> Emergency Operations </w:t>
    </w:r>
    <w:r w:rsidR="00767520" w:rsidRPr="00767520">
      <w:rPr>
        <w:color w:val="1F3864" w:themeColor="accent1" w:themeShade="80"/>
        <w:sz w:val="20"/>
        <w:szCs w:val="20"/>
      </w:rPr>
      <w:t>Plan Executive Summary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5648" w14:textId="77777777" w:rsidR="007A2758" w:rsidRDefault="007A2758" w:rsidP="00542858">
      <w:pPr>
        <w:spacing w:after="0" w:line="240" w:lineRule="auto"/>
      </w:pPr>
      <w:r>
        <w:separator/>
      </w:r>
    </w:p>
  </w:footnote>
  <w:footnote w:type="continuationSeparator" w:id="0">
    <w:p w14:paraId="75D8BBD3" w14:textId="77777777" w:rsidR="007A2758" w:rsidRDefault="007A2758"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1B3A14AD" w:rsidR="00542858" w:rsidRPr="009A7366" w:rsidRDefault="008E2FF9" w:rsidP="009A7366">
    <w:pPr>
      <w:pStyle w:val="Header"/>
      <w:jc w:val="center"/>
    </w:pPr>
    <w:r>
      <w:tab/>
    </w:r>
    <w:r>
      <w:tab/>
    </w:r>
    <w:r w:rsidR="00CE38A7">
      <w:t>Greasewood Solar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0C05"/>
    <w:multiLevelType w:val="multilevel"/>
    <w:tmpl w:val="90906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846C0"/>
    <w:multiLevelType w:val="multilevel"/>
    <w:tmpl w:val="F656F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1A7EF7"/>
    <w:multiLevelType w:val="multilevel"/>
    <w:tmpl w:val="470C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3A35C0"/>
    <w:multiLevelType w:val="hybridMultilevel"/>
    <w:tmpl w:val="9FFC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972FD"/>
    <w:multiLevelType w:val="multilevel"/>
    <w:tmpl w:val="32AEA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140183">
    <w:abstractNumId w:val="6"/>
  </w:num>
  <w:num w:numId="2" w16cid:durableId="1559128233">
    <w:abstractNumId w:val="4"/>
  </w:num>
  <w:num w:numId="3" w16cid:durableId="2128238215">
    <w:abstractNumId w:val="2"/>
  </w:num>
  <w:num w:numId="4" w16cid:durableId="1134176391">
    <w:abstractNumId w:val="3"/>
  </w:num>
  <w:num w:numId="5" w16cid:durableId="394814016">
    <w:abstractNumId w:val="5"/>
  </w:num>
  <w:num w:numId="6" w16cid:durableId="755977115">
    <w:abstractNumId w:val="0"/>
  </w:num>
  <w:num w:numId="7" w16cid:durableId="8631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F0"/>
    <w:rsid w:val="000274EA"/>
    <w:rsid w:val="00037F56"/>
    <w:rsid w:val="00046BC7"/>
    <w:rsid w:val="00055898"/>
    <w:rsid w:val="000903F0"/>
    <w:rsid w:val="00096174"/>
    <w:rsid w:val="000A5A71"/>
    <w:rsid w:val="000B6090"/>
    <w:rsid w:val="000F21B9"/>
    <w:rsid w:val="000F34B7"/>
    <w:rsid w:val="00102EA1"/>
    <w:rsid w:val="00103E63"/>
    <w:rsid w:val="00126861"/>
    <w:rsid w:val="0016258E"/>
    <w:rsid w:val="001670D2"/>
    <w:rsid w:val="00186508"/>
    <w:rsid w:val="001E6E45"/>
    <w:rsid w:val="00204AC1"/>
    <w:rsid w:val="00231E8F"/>
    <w:rsid w:val="00255435"/>
    <w:rsid w:val="00283F32"/>
    <w:rsid w:val="002B49D6"/>
    <w:rsid w:val="00302737"/>
    <w:rsid w:val="0034515C"/>
    <w:rsid w:val="003548A7"/>
    <w:rsid w:val="003B55C5"/>
    <w:rsid w:val="003C4C1F"/>
    <w:rsid w:val="003D1BF2"/>
    <w:rsid w:val="00443036"/>
    <w:rsid w:val="00473DDF"/>
    <w:rsid w:val="00491E31"/>
    <w:rsid w:val="004B640E"/>
    <w:rsid w:val="004B713B"/>
    <w:rsid w:val="00501EFC"/>
    <w:rsid w:val="0051619B"/>
    <w:rsid w:val="00542858"/>
    <w:rsid w:val="00544A7B"/>
    <w:rsid w:val="00556459"/>
    <w:rsid w:val="00557CA4"/>
    <w:rsid w:val="00572051"/>
    <w:rsid w:val="00595147"/>
    <w:rsid w:val="0059563A"/>
    <w:rsid w:val="00633260"/>
    <w:rsid w:val="00664E99"/>
    <w:rsid w:val="00670017"/>
    <w:rsid w:val="00672965"/>
    <w:rsid w:val="00681417"/>
    <w:rsid w:val="00681EBB"/>
    <w:rsid w:val="006910FB"/>
    <w:rsid w:val="006962C9"/>
    <w:rsid w:val="00696878"/>
    <w:rsid w:val="006A2551"/>
    <w:rsid w:val="006A6B59"/>
    <w:rsid w:val="006B12D3"/>
    <w:rsid w:val="006B141D"/>
    <w:rsid w:val="006E5B12"/>
    <w:rsid w:val="006F7E9B"/>
    <w:rsid w:val="00717455"/>
    <w:rsid w:val="00727A0A"/>
    <w:rsid w:val="007376BF"/>
    <w:rsid w:val="00755A16"/>
    <w:rsid w:val="00767520"/>
    <w:rsid w:val="00790C63"/>
    <w:rsid w:val="007A2758"/>
    <w:rsid w:val="007A5310"/>
    <w:rsid w:val="007F7FA6"/>
    <w:rsid w:val="0083407A"/>
    <w:rsid w:val="0087293D"/>
    <w:rsid w:val="0089746A"/>
    <w:rsid w:val="008A2A69"/>
    <w:rsid w:val="008E2FF9"/>
    <w:rsid w:val="008E6416"/>
    <w:rsid w:val="008F3400"/>
    <w:rsid w:val="0095005A"/>
    <w:rsid w:val="009A02FC"/>
    <w:rsid w:val="009A7366"/>
    <w:rsid w:val="009C0BED"/>
    <w:rsid w:val="009C4134"/>
    <w:rsid w:val="009C6B1A"/>
    <w:rsid w:val="009D2BF4"/>
    <w:rsid w:val="00A15F2E"/>
    <w:rsid w:val="00A36B6A"/>
    <w:rsid w:val="00A62719"/>
    <w:rsid w:val="00A71C91"/>
    <w:rsid w:val="00A83849"/>
    <w:rsid w:val="00A8461E"/>
    <w:rsid w:val="00A87D0E"/>
    <w:rsid w:val="00AB2BE8"/>
    <w:rsid w:val="00B2396E"/>
    <w:rsid w:val="00B46542"/>
    <w:rsid w:val="00B544DD"/>
    <w:rsid w:val="00B9378E"/>
    <w:rsid w:val="00BB5B28"/>
    <w:rsid w:val="00BC2240"/>
    <w:rsid w:val="00BE0A32"/>
    <w:rsid w:val="00BF5756"/>
    <w:rsid w:val="00C07BE8"/>
    <w:rsid w:val="00C11E5F"/>
    <w:rsid w:val="00C54638"/>
    <w:rsid w:val="00CD0847"/>
    <w:rsid w:val="00CE38A7"/>
    <w:rsid w:val="00CE4E2E"/>
    <w:rsid w:val="00D04304"/>
    <w:rsid w:val="00D21598"/>
    <w:rsid w:val="00D84C65"/>
    <w:rsid w:val="00D927D6"/>
    <w:rsid w:val="00DB752D"/>
    <w:rsid w:val="00DC4553"/>
    <w:rsid w:val="00E0596B"/>
    <w:rsid w:val="00E30D68"/>
    <w:rsid w:val="00E51D41"/>
    <w:rsid w:val="00E53290"/>
    <w:rsid w:val="00E633CD"/>
    <w:rsid w:val="00E87240"/>
    <w:rsid w:val="00EA0E37"/>
    <w:rsid w:val="00ED31B4"/>
    <w:rsid w:val="00EF2DB1"/>
    <w:rsid w:val="00F25425"/>
    <w:rsid w:val="00F7159C"/>
    <w:rsid w:val="00F721A9"/>
    <w:rsid w:val="00FA0A85"/>
    <w:rsid w:val="00FB4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2C9"/>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customStyle="1" w:styleId="Heading1Char">
    <w:name w:val="Heading 1 Char"/>
    <w:basedOn w:val="DefaultParagraphFont"/>
    <w:link w:val="Heading1"/>
    <w:uiPriority w:val="9"/>
    <w:rsid w:val="006962C9"/>
    <w:rPr>
      <w:rFonts w:asciiTheme="majorHAnsi" w:eastAsiaTheme="majorEastAsia" w:hAnsiTheme="majorHAnsi" w:cstheme="majorBidi"/>
      <w:color w:val="2F5496" w:themeColor="accent1" w:themeShade="BF"/>
      <w:sz w:val="32"/>
      <w:szCs w:val="32"/>
    </w:rPr>
  </w:style>
  <w:style w:type="paragraph" w:customStyle="1" w:styleId="xmsolistparagraph">
    <w:name w:val="x_msolistparagraph"/>
    <w:basedOn w:val="Normal"/>
    <w:rsid w:val="00D927D6"/>
    <w:pPr>
      <w:spacing w:after="0" w:line="240" w:lineRule="auto"/>
      <w:ind w:left="720"/>
    </w:pPr>
    <w:rPr>
      <w:rFonts w:ascii="Calibri" w:hAnsi="Calibri" w:cs="Calibri"/>
    </w:rPr>
  </w:style>
  <w:style w:type="table" w:styleId="TableGrid">
    <w:name w:val="Table Grid"/>
    <w:basedOn w:val="TableNormal"/>
    <w:uiPriority w:val="39"/>
    <w:rsid w:val="00790C6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3609">
      <w:bodyDiv w:val="1"/>
      <w:marLeft w:val="0"/>
      <w:marRight w:val="0"/>
      <w:marTop w:val="0"/>
      <w:marBottom w:val="0"/>
      <w:divBdr>
        <w:top w:val="none" w:sz="0" w:space="0" w:color="auto"/>
        <w:left w:val="none" w:sz="0" w:space="0" w:color="auto"/>
        <w:bottom w:val="none" w:sz="0" w:space="0" w:color="auto"/>
        <w:right w:val="none" w:sz="0" w:space="0" w:color="auto"/>
      </w:divBdr>
    </w:div>
    <w:div w:id="5650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711</Words>
  <Characters>4056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12</cp:revision>
  <dcterms:created xsi:type="dcterms:W3CDTF">2023-12-15T14:11:00Z</dcterms:created>
  <dcterms:modified xsi:type="dcterms:W3CDTF">2023-12-15T20:40:00Z</dcterms:modified>
</cp:coreProperties>
</file>